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AEEE1" w14:textId="65A216BB" w:rsidR="001B6535" w:rsidRDefault="001B6535" w:rsidP="001B6535">
      <w:pPr>
        <w:rPr>
          <w:sz w:val="24"/>
          <w:szCs w:val="24"/>
        </w:rPr>
      </w:pPr>
      <w:r w:rsidRPr="00F31683">
        <w:rPr>
          <w:sz w:val="24"/>
          <w:szCs w:val="24"/>
        </w:rPr>
        <w:t xml:space="preserve">It is the intent of the State of Nebraska to procure a VOIP service that is </w:t>
      </w:r>
      <w:proofErr w:type="gramStart"/>
      <w:r w:rsidRPr="00F31683">
        <w:rPr>
          <w:sz w:val="24"/>
          <w:szCs w:val="24"/>
        </w:rPr>
        <w:t>all inclusive</w:t>
      </w:r>
      <w:proofErr w:type="gramEnd"/>
      <w:r w:rsidRPr="00F31683">
        <w:rPr>
          <w:sz w:val="24"/>
          <w:szCs w:val="24"/>
        </w:rPr>
        <w:t xml:space="preserve">. </w:t>
      </w:r>
    </w:p>
    <w:p w14:paraId="36D8512A" w14:textId="6FF1494C" w:rsidR="008B611D" w:rsidRPr="0034676A" w:rsidRDefault="001B6535" w:rsidP="00CB3431">
      <w:pPr>
        <w:rPr>
          <w:sz w:val="24"/>
          <w:szCs w:val="24"/>
          <w:u w:val="single"/>
        </w:rPr>
      </w:pPr>
      <w:r w:rsidRPr="00F31683">
        <w:rPr>
          <w:sz w:val="24"/>
          <w:szCs w:val="24"/>
        </w:rPr>
        <w:t xml:space="preserve">The State requires that any </w:t>
      </w:r>
      <w:proofErr w:type="gramStart"/>
      <w:r w:rsidRPr="00F31683">
        <w:rPr>
          <w:sz w:val="24"/>
          <w:szCs w:val="24"/>
        </w:rPr>
        <w:t>costs</w:t>
      </w:r>
      <w:proofErr w:type="gramEnd"/>
      <w:r w:rsidRPr="00F31683">
        <w:rPr>
          <w:sz w:val="24"/>
          <w:szCs w:val="24"/>
        </w:rPr>
        <w:t xml:space="preserve"> for the following components be included in the Monthly Line Rate for Basic, Mo</w:t>
      </w:r>
      <w:r>
        <w:rPr>
          <w:sz w:val="24"/>
          <w:szCs w:val="24"/>
        </w:rPr>
        <w:t>nthly Line Rate for Standard, Monthly Line Rate for Premium and</w:t>
      </w:r>
      <w:r w:rsidRPr="005B0ACC">
        <w:rPr>
          <w:sz w:val="24"/>
          <w:szCs w:val="24"/>
        </w:rPr>
        <w:t xml:space="preserve"> </w:t>
      </w:r>
      <w:r>
        <w:rPr>
          <w:sz w:val="24"/>
          <w:szCs w:val="24"/>
        </w:rPr>
        <w:t>Monthly Line Rate for Analog</w:t>
      </w:r>
      <w:r w:rsidRPr="00F3168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F31683">
        <w:rPr>
          <w:sz w:val="24"/>
          <w:szCs w:val="24"/>
          <w:u w:val="single"/>
        </w:rPr>
        <w:t>The State will not inc</w:t>
      </w:r>
      <w:bookmarkStart w:id="0" w:name="_GoBack"/>
      <w:bookmarkEnd w:id="0"/>
      <w:r w:rsidRPr="00F31683">
        <w:rPr>
          <w:sz w:val="24"/>
          <w:szCs w:val="24"/>
          <w:u w:val="single"/>
        </w:rPr>
        <w:t xml:space="preserve">ur </w:t>
      </w:r>
      <w:r>
        <w:rPr>
          <w:sz w:val="24"/>
          <w:szCs w:val="24"/>
          <w:u w:val="single"/>
        </w:rPr>
        <w:t xml:space="preserve">or pay for </w:t>
      </w:r>
      <w:r w:rsidRPr="00F31683">
        <w:rPr>
          <w:sz w:val="24"/>
          <w:szCs w:val="24"/>
          <w:u w:val="single"/>
        </w:rPr>
        <w:t xml:space="preserve">any additional costs for any component listed below.  </w:t>
      </w:r>
    </w:p>
    <w:p w14:paraId="5FA9F1BA" w14:textId="693D78F4" w:rsidR="00322CF8" w:rsidRPr="0034676A" w:rsidRDefault="00322CF8" w:rsidP="00322CF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4676A">
        <w:rPr>
          <w:sz w:val="24"/>
          <w:szCs w:val="24"/>
        </w:rPr>
        <w:t>VOIP Line.</w:t>
      </w:r>
    </w:p>
    <w:p w14:paraId="15AB637C" w14:textId="0D1B3E9B" w:rsidR="00322CF8" w:rsidRPr="0034676A" w:rsidRDefault="00322CF8" w:rsidP="00322CF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4676A">
        <w:rPr>
          <w:sz w:val="24"/>
          <w:szCs w:val="24"/>
        </w:rPr>
        <w:t>VOIP telephone set.</w:t>
      </w:r>
    </w:p>
    <w:p w14:paraId="6B1449A3" w14:textId="77777777" w:rsidR="00322CF8" w:rsidRPr="0034676A" w:rsidRDefault="00322CF8" w:rsidP="00322CF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4676A">
        <w:rPr>
          <w:sz w:val="24"/>
          <w:szCs w:val="24"/>
        </w:rPr>
        <w:t>All licensing necessary to provide the proposed service.</w:t>
      </w:r>
    </w:p>
    <w:p w14:paraId="0459D7E6" w14:textId="77777777" w:rsidR="00322CF8" w:rsidRPr="0034676A" w:rsidRDefault="00322CF8" w:rsidP="00322CF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4676A">
        <w:rPr>
          <w:sz w:val="24"/>
          <w:szCs w:val="24"/>
        </w:rPr>
        <w:t>All software necessary to provide the proposed services.</w:t>
      </w:r>
    </w:p>
    <w:p w14:paraId="05BC3267" w14:textId="77777777" w:rsidR="00322CF8" w:rsidRPr="0034676A" w:rsidRDefault="00322CF8" w:rsidP="00322CF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4676A">
        <w:rPr>
          <w:sz w:val="24"/>
          <w:szCs w:val="24"/>
        </w:rPr>
        <w:t>All network equipment with the exception of Switches and Routers already in use by the State for transportation of network services.</w:t>
      </w:r>
    </w:p>
    <w:p w14:paraId="1FE65477" w14:textId="77777777" w:rsidR="00322CF8" w:rsidRPr="0034676A" w:rsidRDefault="00322CF8" w:rsidP="00322CF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4676A">
        <w:rPr>
          <w:sz w:val="24"/>
          <w:szCs w:val="24"/>
        </w:rPr>
        <w:t>Any session border controllers, gateway equipment, software, or licensing necessary to connect the State Network with bidder’s network and/or the PSTN.</w:t>
      </w:r>
    </w:p>
    <w:p w14:paraId="624311CD" w14:textId="77777777" w:rsidR="00322CF8" w:rsidRPr="0034676A" w:rsidRDefault="00322CF8" w:rsidP="00322CF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4676A">
        <w:rPr>
          <w:sz w:val="24"/>
          <w:szCs w:val="24"/>
        </w:rPr>
        <w:t>Any equipment necessary to connect the bidder’s network to the PTSN.</w:t>
      </w:r>
    </w:p>
    <w:p w14:paraId="420EC4A2" w14:textId="572DDC9F" w:rsidR="00322CF8" w:rsidRPr="0034676A" w:rsidRDefault="00322CF8" w:rsidP="00322CF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4676A">
        <w:rPr>
          <w:sz w:val="24"/>
          <w:szCs w:val="24"/>
        </w:rPr>
        <w:t xml:space="preserve">Any trunks, circuits, bandwidth, or connectivity components that allow calls to traverse between any portion of the </w:t>
      </w:r>
      <w:r w:rsidR="00B11A51">
        <w:rPr>
          <w:sz w:val="24"/>
          <w:szCs w:val="24"/>
        </w:rPr>
        <w:t xml:space="preserve">existing </w:t>
      </w:r>
      <w:r w:rsidRPr="0034676A">
        <w:rPr>
          <w:sz w:val="24"/>
          <w:szCs w:val="24"/>
        </w:rPr>
        <w:t>State Network and the PSTN or Bidder’s network.</w:t>
      </w:r>
    </w:p>
    <w:p w14:paraId="4B9A488D" w14:textId="77777777" w:rsidR="00322CF8" w:rsidRPr="0034676A" w:rsidRDefault="00322CF8" w:rsidP="00322CF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4676A">
        <w:rPr>
          <w:sz w:val="24"/>
          <w:szCs w:val="24"/>
        </w:rPr>
        <w:t xml:space="preserve">Any regulatory fees in which the Federal, State, or local Government does not mandate </w:t>
      </w:r>
      <w:proofErr w:type="gramStart"/>
      <w:r w:rsidRPr="0034676A">
        <w:rPr>
          <w:sz w:val="24"/>
          <w:szCs w:val="24"/>
        </w:rPr>
        <w:t>being passed on</w:t>
      </w:r>
      <w:proofErr w:type="gramEnd"/>
      <w:r w:rsidRPr="0034676A">
        <w:rPr>
          <w:sz w:val="24"/>
          <w:szCs w:val="24"/>
        </w:rPr>
        <w:t xml:space="preserve"> directly to the consumer or customer.</w:t>
      </w:r>
    </w:p>
    <w:p w14:paraId="78DE30EC" w14:textId="6EC96602" w:rsidR="00322CF8" w:rsidRDefault="00322CF8" w:rsidP="00322CF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4676A">
        <w:rPr>
          <w:sz w:val="24"/>
          <w:szCs w:val="24"/>
        </w:rPr>
        <w:t>Any equipment, software, or licensing necessary to convert VOIP to Analog.</w:t>
      </w:r>
    </w:p>
    <w:p w14:paraId="01167718" w14:textId="2C852EBB" w:rsidR="00CB3431" w:rsidRDefault="0034676A" w:rsidP="00AB6B83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Maintenance fees for any items listed above.</w:t>
      </w:r>
    </w:p>
    <w:p w14:paraId="0C5E818C" w14:textId="5DF2F46F" w:rsidR="00AB6B83" w:rsidRDefault="00AB6B83" w:rsidP="00AB6B83">
      <w:pPr>
        <w:pStyle w:val="ListParagraph"/>
        <w:widowControl w:val="0"/>
        <w:spacing w:after="0" w:line="240" w:lineRule="auto"/>
        <w:ind w:left="2160"/>
        <w:rPr>
          <w:sz w:val="24"/>
          <w:szCs w:val="24"/>
        </w:rPr>
      </w:pPr>
    </w:p>
    <w:p w14:paraId="4C9824F5" w14:textId="03CEB4A8" w:rsidR="00AB6B83" w:rsidRDefault="00AB6B83" w:rsidP="00AB6B83">
      <w:pPr>
        <w:pStyle w:val="ListParagraph"/>
        <w:widowControl w:val="0"/>
        <w:spacing w:after="0" w:line="240" w:lineRule="auto"/>
        <w:ind w:left="2160"/>
        <w:rPr>
          <w:sz w:val="24"/>
          <w:szCs w:val="24"/>
        </w:rPr>
      </w:pPr>
    </w:p>
    <w:p w14:paraId="2BF548DB" w14:textId="7BF8B965" w:rsidR="00AB6B83" w:rsidRDefault="00AB6B83" w:rsidP="00AB6B83">
      <w:pPr>
        <w:pStyle w:val="ListParagraph"/>
        <w:widowControl w:val="0"/>
        <w:spacing w:after="0" w:line="240" w:lineRule="auto"/>
        <w:ind w:left="2160"/>
        <w:rPr>
          <w:sz w:val="24"/>
          <w:szCs w:val="24"/>
        </w:rPr>
      </w:pPr>
    </w:p>
    <w:p w14:paraId="0FED4E9B" w14:textId="1DED4DFA" w:rsidR="00AB6B83" w:rsidRDefault="00AB6B83" w:rsidP="00AB6B83">
      <w:pPr>
        <w:pStyle w:val="ListParagraph"/>
        <w:widowControl w:val="0"/>
        <w:spacing w:after="0" w:line="240" w:lineRule="auto"/>
        <w:ind w:left="2160"/>
        <w:rPr>
          <w:sz w:val="24"/>
          <w:szCs w:val="24"/>
        </w:rPr>
      </w:pPr>
    </w:p>
    <w:p w14:paraId="33D5361B" w14:textId="15896BD3" w:rsidR="00AB6B83" w:rsidRDefault="00AB6B83" w:rsidP="00AB6B83">
      <w:pPr>
        <w:pStyle w:val="ListParagraph"/>
        <w:widowControl w:val="0"/>
        <w:spacing w:after="0" w:line="240" w:lineRule="auto"/>
        <w:ind w:left="2160"/>
        <w:rPr>
          <w:sz w:val="24"/>
          <w:szCs w:val="24"/>
        </w:rPr>
      </w:pPr>
    </w:p>
    <w:p w14:paraId="53FA321A" w14:textId="4060EEFB" w:rsidR="00AB6B83" w:rsidRDefault="00AB6B83" w:rsidP="00AB6B83">
      <w:pPr>
        <w:pStyle w:val="ListParagraph"/>
        <w:widowControl w:val="0"/>
        <w:spacing w:after="0" w:line="240" w:lineRule="auto"/>
        <w:ind w:left="2160"/>
        <w:rPr>
          <w:sz w:val="24"/>
          <w:szCs w:val="24"/>
        </w:rPr>
      </w:pPr>
    </w:p>
    <w:p w14:paraId="61BCDD5C" w14:textId="25850BE2" w:rsidR="00AB6B83" w:rsidRDefault="00AB6B83" w:rsidP="00AB6B83">
      <w:pPr>
        <w:pStyle w:val="ListParagraph"/>
        <w:widowControl w:val="0"/>
        <w:spacing w:after="0" w:line="240" w:lineRule="auto"/>
        <w:ind w:left="2160"/>
        <w:rPr>
          <w:sz w:val="24"/>
          <w:szCs w:val="24"/>
        </w:rPr>
      </w:pPr>
    </w:p>
    <w:p w14:paraId="7C25A16F" w14:textId="77777777" w:rsidR="00AB6B83" w:rsidRPr="00AB6B83" w:rsidRDefault="00AB6B83" w:rsidP="00AB6B83">
      <w:pPr>
        <w:pStyle w:val="ListParagraph"/>
        <w:widowControl w:val="0"/>
        <w:spacing w:after="0" w:line="240" w:lineRule="auto"/>
        <w:ind w:left="2160"/>
        <w:rPr>
          <w:sz w:val="24"/>
          <w:szCs w:val="24"/>
        </w:rPr>
      </w:pPr>
    </w:p>
    <w:p w14:paraId="69B12EA1" w14:textId="554DA9FF" w:rsidR="001B6535" w:rsidRDefault="001B6535" w:rsidP="001B6535">
      <w:pPr>
        <w:rPr>
          <w:sz w:val="24"/>
          <w:szCs w:val="24"/>
        </w:rPr>
      </w:pPr>
      <w:r w:rsidRPr="00F31683">
        <w:rPr>
          <w:sz w:val="24"/>
          <w:szCs w:val="24"/>
        </w:rPr>
        <w:lastRenderedPageBreak/>
        <w:t xml:space="preserve">It is the intent of the State of Nebraska to procure a VOIP service that is </w:t>
      </w:r>
      <w:proofErr w:type="gramStart"/>
      <w:r w:rsidRPr="00F31683">
        <w:rPr>
          <w:sz w:val="24"/>
          <w:szCs w:val="24"/>
        </w:rPr>
        <w:t>all inclusive</w:t>
      </w:r>
      <w:proofErr w:type="gramEnd"/>
      <w:r w:rsidRPr="00F31683">
        <w:rPr>
          <w:sz w:val="24"/>
          <w:szCs w:val="24"/>
        </w:rPr>
        <w:t xml:space="preserve">. </w:t>
      </w:r>
    </w:p>
    <w:p w14:paraId="4D56CD53" w14:textId="77777777" w:rsidR="001B6535" w:rsidRPr="001440F0" w:rsidRDefault="001B6535" w:rsidP="001B6535">
      <w:pPr>
        <w:rPr>
          <w:sz w:val="24"/>
          <w:szCs w:val="24"/>
        </w:rPr>
      </w:pPr>
      <w:r w:rsidRPr="00F31683">
        <w:rPr>
          <w:sz w:val="24"/>
          <w:szCs w:val="24"/>
        </w:rPr>
        <w:t xml:space="preserve">The State requires that any </w:t>
      </w:r>
      <w:proofErr w:type="gramStart"/>
      <w:r w:rsidRPr="00F31683">
        <w:rPr>
          <w:sz w:val="24"/>
          <w:szCs w:val="24"/>
        </w:rPr>
        <w:t>costs</w:t>
      </w:r>
      <w:proofErr w:type="gramEnd"/>
      <w:r w:rsidRPr="00F31683">
        <w:rPr>
          <w:sz w:val="24"/>
          <w:szCs w:val="24"/>
        </w:rPr>
        <w:t xml:space="preserve"> for the following components be included in the </w:t>
      </w:r>
      <w:r w:rsidRPr="001440F0">
        <w:rPr>
          <w:sz w:val="24"/>
          <w:szCs w:val="24"/>
        </w:rPr>
        <w:t>Line Installation Costs:</w:t>
      </w:r>
    </w:p>
    <w:p w14:paraId="160FC624" w14:textId="77777777" w:rsidR="001B6535" w:rsidRPr="001440F0" w:rsidRDefault="001B6535" w:rsidP="001B6535">
      <w:pPr>
        <w:numPr>
          <w:ilvl w:val="0"/>
          <w:numId w:val="4"/>
        </w:numPr>
        <w:contextualSpacing/>
        <w:rPr>
          <w:sz w:val="24"/>
          <w:szCs w:val="24"/>
        </w:rPr>
      </w:pPr>
      <w:r w:rsidRPr="001440F0">
        <w:rPr>
          <w:sz w:val="24"/>
          <w:szCs w:val="24"/>
        </w:rPr>
        <w:t>All programming of VOIP line in Contractors core equipment</w:t>
      </w:r>
    </w:p>
    <w:p w14:paraId="76311683" w14:textId="77777777" w:rsidR="001B6535" w:rsidRPr="001440F0" w:rsidRDefault="001B6535" w:rsidP="001B6535">
      <w:pPr>
        <w:numPr>
          <w:ilvl w:val="0"/>
          <w:numId w:val="4"/>
        </w:numPr>
        <w:contextualSpacing/>
        <w:rPr>
          <w:sz w:val="24"/>
          <w:szCs w:val="24"/>
        </w:rPr>
      </w:pPr>
      <w:r w:rsidRPr="001440F0">
        <w:rPr>
          <w:sz w:val="24"/>
          <w:szCs w:val="24"/>
        </w:rPr>
        <w:t>All programming or configuration of telephone set</w:t>
      </w:r>
    </w:p>
    <w:p w14:paraId="54398BB6" w14:textId="77777777" w:rsidR="001B6535" w:rsidRPr="001440F0" w:rsidRDefault="001B6535" w:rsidP="001B6535">
      <w:pPr>
        <w:numPr>
          <w:ilvl w:val="0"/>
          <w:numId w:val="4"/>
        </w:numPr>
        <w:contextualSpacing/>
        <w:rPr>
          <w:sz w:val="24"/>
          <w:szCs w:val="24"/>
        </w:rPr>
      </w:pPr>
      <w:r w:rsidRPr="001440F0">
        <w:rPr>
          <w:sz w:val="24"/>
          <w:szCs w:val="24"/>
        </w:rPr>
        <w:t>Delivery of telephone set to site</w:t>
      </w:r>
    </w:p>
    <w:p w14:paraId="3EB1A327" w14:textId="77777777" w:rsidR="001B6535" w:rsidRPr="001440F0" w:rsidRDefault="001B6535" w:rsidP="001B6535">
      <w:pPr>
        <w:numPr>
          <w:ilvl w:val="0"/>
          <w:numId w:val="4"/>
        </w:numPr>
        <w:contextualSpacing/>
        <w:rPr>
          <w:sz w:val="24"/>
          <w:szCs w:val="24"/>
        </w:rPr>
      </w:pPr>
      <w:r w:rsidRPr="001440F0">
        <w:rPr>
          <w:sz w:val="24"/>
          <w:szCs w:val="24"/>
        </w:rPr>
        <w:t>Unboxing and assembly of telephone set at site</w:t>
      </w:r>
    </w:p>
    <w:p w14:paraId="3FCCE76F" w14:textId="77777777" w:rsidR="001B6535" w:rsidRPr="001440F0" w:rsidRDefault="001B6535" w:rsidP="001B6535">
      <w:pPr>
        <w:numPr>
          <w:ilvl w:val="0"/>
          <w:numId w:val="4"/>
        </w:numPr>
        <w:contextualSpacing/>
        <w:rPr>
          <w:sz w:val="24"/>
          <w:szCs w:val="24"/>
        </w:rPr>
      </w:pPr>
      <w:r w:rsidRPr="001440F0">
        <w:rPr>
          <w:sz w:val="24"/>
          <w:szCs w:val="24"/>
        </w:rPr>
        <w:t>Labeling of telephone set and keys</w:t>
      </w:r>
    </w:p>
    <w:p w14:paraId="32D7661E" w14:textId="77777777" w:rsidR="001B6535" w:rsidRPr="001440F0" w:rsidRDefault="001B6535" w:rsidP="001B6535">
      <w:pPr>
        <w:numPr>
          <w:ilvl w:val="0"/>
          <w:numId w:val="4"/>
        </w:numPr>
        <w:contextualSpacing/>
        <w:rPr>
          <w:sz w:val="24"/>
          <w:szCs w:val="24"/>
        </w:rPr>
      </w:pPr>
      <w:r w:rsidRPr="001440F0">
        <w:rPr>
          <w:sz w:val="24"/>
          <w:szCs w:val="24"/>
        </w:rPr>
        <w:t>Connecting telephone set to Ethernet jack and workstation if applicable</w:t>
      </w:r>
    </w:p>
    <w:p w14:paraId="0A9AC462" w14:textId="5DC48868" w:rsidR="001B6535" w:rsidRDefault="001B6535" w:rsidP="001B6535">
      <w:pPr>
        <w:numPr>
          <w:ilvl w:val="0"/>
          <w:numId w:val="4"/>
        </w:numPr>
        <w:contextualSpacing/>
        <w:rPr>
          <w:sz w:val="24"/>
          <w:szCs w:val="24"/>
        </w:rPr>
      </w:pPr>
      <w:r w:rsidRPr="001440F0">
        <w:rPr>
          <w:sz w:val="24"/>
          <w:szCs w:val="24"/>
        </w:rPr>
        <w:t xml:space="preserve">Testing telephone set </w:t>
      </w:r>
    </w:p>
    <w:p w14:paraId="57B1DEF6" w14:textId="77777777" w:rsidR="00AB6B83" w:rsidRPr="00AB6B83" w:rsidRDefault="00AB6B83" w:rsidP="00AB6B83">
      <w:pPr>
        <w:ind w:left="1080"/>
        <w:contextualSpacing/>
        <w:rPr>
          <w:sz w:val="24"/>
          <w:szCs w:val="24"/>
        </w:rPr>
      </w:pPr>
    </w:p>
    <w:p w14:paraId="6E6CAC94" w14:textId="77777777" w:rsidR="001B6535" w:rsidRDefault="001B6535" w:rsidP="001B6535">
      <w:pPr>
        <w:rPr>
          <w:sz w:val="24"/>
          <w:szCs w:val="24"/>
        </w:rPr>
      </w:pPr>
      <w:r>
        <w:rPr>
          <w:sz w:val="24"/>
          <w:szCs w:val="24"/>
        </w:rPr>
        <w:t>Additionally, t</w:t>
      </w:r>
      <w:r w:rsidRPr="001440F0">
        <w:rPr>
          <w:sz w:val="24"/>
          <w:szCs w:val="24"/>
        </w:rPr>
        <w:t xml:space="preserve">he State will not incur </w:t>
      </w:r>
      <w:r>
        <w:rPr>
          <w:sz w:val="24"/>
          <w:szCs w:val="24"/>
        </w:rPr>
        <w:t xml:space="preserve">or pay for </w:t>
      </w:r>
      <w:r w:rsidRPr="001440F0">
        <w:rPr>
          <w:sz w:val="24"/>
          <w:szCs w:val="24"/>
        </w:rPr>
        <w:t xml:space="preserve">any additional costs to procure the service as proposed by the Bidder that are not included in this cost proposal in the following sections.  </w:t>
      </w:r>
    </w:p>
    <w:p w14:paraId="6167ED0C" w14:textId="5DC373C2" w:rsidR="008977BB" w:rsidRDefault="001B6535">
      <w:pPr>
        <w:rPr>
          <w:sz w:val="24"/>
          <w:szCs w:val="24"/>
        </w:rPr>
      </w:pPr>
      <w:r w:rsidRPr="001440F0">
        <w:rPr>
          <w:sz w:val="24"/>
          <w:szCs w:val="24"/>
        </w:rPr>
        <w:t>Failure to include all costs as requested in the following sections may result in Bid Rejection.</w:t>
      </w:r>
      <w:r>
        <w:rPr>
          <w:sz w:val="24"/>
          <w:szCs w:val="24"/>
        </w:rPr>
        <w:t xml:space="preserve">  If no cost is necessary, the Bidder must enter $0.00 in that section indicating that the feature or service </w:t>
      </w:r>
      <w:proofErr w:type="gramStart"/>
      <w:r>
        <w:rPr>
          <w:sz w:val="24"/>
          <w:szCs w:val="24"/>
        </w:rPr>
        <w:t>is provided</w:t>
      </w:r>
      <w:proofErr w:type="gramEnd"/>
      <w:r>
        <w:rPr>
          <w:sz w:val="24"/>
          <w:szCs w:val="24"/>
        </w:rPr>
        <w:t xml:space="preserve"> at no </w:t>
      </w:r>
      <w:r w:rsidR="00880B4A">
        <w:rPr>
          <w:sz w:val="24"/>
          <w:szCs w:val="24"/>
        </w:rPr>
        <w:t xml:space="preserve">additional </w:t>
      </w:r>
      <w:r>
        <w:rPr>
          <w:sz w:val="24"/>
          <w:szCs w:val="24"/>
        </w:rPr>
        <w:t xml:space="preserve">cost to the State.  </w:t>
      </w:r>
    </w:p>
    <w:p w14:paraId="2E3CC500" w14:textId="6C5E5D93" w:rsidR="00AB6B83" w:rsidRDefault="00AB6B83">
      <w:pPr>
        <w:rPr>
          <w:sz w:val="24"/>
          <w:szCs w:val="24"/>
        </w:rPr>
      </w:pPr>
    </w:p>
    <w:p w14:paraId="7B38C2AA" w14:textId="4B90F41C" w:rsidR="00AB6B83" w:rsidRDefault="00AB6B83">
      <w:pPr>
        <w:rPr>
          <w:sz w:val="24"/>
          <w:szCs w:val="24"/>
        </w:rPr>
      </w:pPr>
    </w:p>
    <w:p w14:paraId="12F1B5DC" w14:textId="5DDA6AAC" w:rsidR="00AB6B83" w:rsidRDefault="00AB6B83">
      <w:pPr>
        <w:rPr>
          <w:sz w:val="24"/>
          <w:szCs w:val="24"/>
        </w:rPr>
      </w:pPr>
    </w:p>
    <w:p w14:paraId="1F3B39B4" w14:textId="3E21737A" w:rsidR="00AB6B83" w:rsidRDefault="00AB6B83">
      <w:pPr>
        <w:rPr>
          <w:sz w:val="24"/>
          <w:szCs w:val="24"/>
        </w:rPr>
      </w:pPr>
    </w:p>
    <w:p w14:paraId="2457D4EE" w14:textId="58907E7C" w:rsidR="00AB6B83" w:rsidRDefault="00AB6B83">
      <w:pPr>
        <w:rPr>
          <w:sz w:val="24"/>
          <w:szCs w:val="24"/>
        </w:rPr>
      </w:pPr>
    </w:p>
    <w:p w14:paraId="6F6C611E" w14:textId="60149C2C" w:rsidR="00AB6B83" w:rsidRDefault="00AB6B83">
      <w:pPr>
        <w:rPr>
          <w:sz w:val="24"/>
          <w:szCs w:val="24"/>
        </w:rPr>
      </w:pPr>
    </w:p>
    <w:p w14:paraId="66A7D273" w14:textId="77777777" w:rsidR="00AB6B83" w:rsidRPr="00AB6B83" w:rsidRDefault="00AB6B83">
      <w:pPr>
        <w:rPr>
          <w:sz w:val="24"/>
          <w:szCs w:val="24"/>
        </w:rPr>
      </w:pPr>
    </w:p>
    <w:tbl>
      <w:tblPr>
        <w:tblW w:w="13950" w:type="dxa"/>
        <w:tblInd w:w="-10" w:type="dxa"/>
        <w:tblLook w:val="04A0" w:firstRow="1" w:lastRow="0" w:firstColumn="1" w:lastColumn="0" w:noHBand="0" w:noVBand="1"/>
      </w:tblPr>
      <w:tblGrid>
        <w:gridCol w:w="4648"/>
        <w:gridCol w:w="2372"/>
        <w:gridCol w:w="2340"/>
        <w:gridCol w:w="2340"/>
        <w:gridCol w:w="2250"/>
      </w:tblGrid>
      <w:tr w:rsidR="00744FEC" w:rsidRPr="00744FEC" w14:paraId="130B1494" w14:textId="77777777" w:rsidTr="00744FEC">
        <w:trPr>
          <w:trHeight w:val="202"/>
        </w:trPr>
        <w:tc>
          <w:tcPr>
            <w:tcW w:w="4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909E86" w14:textId="241AEDC9" w:rsidR="00744FEC" w:rsidRPr="00744FEC" w:rsidRDefault="00441314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Feature</w:t>
            </w:r>
            <w:r w:rsidR="00744FEC"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1E6CF2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Basic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4659D5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Standard 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1F0F2A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Premium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99EC4D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>Analog</w:t>
            </w:r>
          </w:p>
        </w:tc>
      </w:tr>
      <w:tr w:rsidR="00744FEC" w:rsidRPr="00744FEC" w14:paraId="0D4BC8AC" w14:textId="77777777" w:rsidTr="00744FEC">
        <w:trPr>
          <w:trHeight w:val="333"/>
        </w:trPr>
        <w:tc>
          <w:tcPr>
            <w:tcW w:w="4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12AA3" w14:textId="77777777" w:rsidR="00744FEC" w:rsidRPr="00744FEC" w:rsidRDefault="00744FEC" w:rsidP="00744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6D83E3" w14:textId="447071E6" w:rsidR="00744FEC" w:rsidRPr="00744FEC" w:rsidRDefault="00744FEC" w:rsidP="001B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Estimated </w:t>
            </w:r>
            <w:r w:rsidR="001B6535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- 6170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6958AF" w14:textId="166405A5" w:rsidR="00744FEC" w:rsidRPr="00744FEC" w:rsidRDefault="00744FEC" w:rsidP="001B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Estimated </w:t>
            </w:r>
            <w:r w:rsidR="001B6535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- 3229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7BF46A" w14:textId="656EE450" w:rsidR="00744FEC" w:rsidRPr="00744FEC" w:rsidRDefault="00744FEC" w:rsidP="001B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Estimated </w:t>
            </w:r>
            <w:r w:rsidR="001B6535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- 1235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5C3AE3" w14:textId="6230EBCF" w:rsidR="00744FEC" w:rsidRPr="00744FEC" w:rsidRDefault="00744FEC" w:rsidP="001B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Estimated </w:t>
            </w:r>
            <w:r w:rsidR="001B6535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- 150</w:t>
            </w:r>
          </w:p>
        </w:tc>
      </w:tr>
      <w:tr w:rsidR="00744FEC" w:rsidRPr="00744FEC" w14:paraId="5621CE27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166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Transfer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FFF4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21D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5D62D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73B5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39B0AB58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A17B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Three way calling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DA6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7346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7F895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846C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5201E0E7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A2164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Call Forward/ No Answer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CBAD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773A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BBB92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9F2B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13CBF3DD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E52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Call Forward / Busy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87F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38A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16A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1922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1E22E42F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15D8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Call Forward Universal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A78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D33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D78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2B81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6F336D1B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9D44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Call Pickup Group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0A66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DCF1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0D5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FCA7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2D73F0EA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87D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Directed Call Pickup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2083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2B81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C191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D9904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74919760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1F44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Call Park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60D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3DC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EC5C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2BA2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7327BD6E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408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Conferencing (Min. 6 Party)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32A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B4F8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68A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CC33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42247273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1D4B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Last Call Return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BBA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0E13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B3E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D6A6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2010C81F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7EF2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Message Waiting Indicator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C33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ACE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57D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7E5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2BCD05FB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A1D5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Hold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32E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AC8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94C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531B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0B70A07A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397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Auto Dial Keys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38F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48CB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8C76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2FF6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6B84C163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0CF5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Speed Dial List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0C64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15B2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1E7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C812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4586822B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E095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Follow Me Feature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AA7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839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4B32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D8E3D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44ECD77C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7473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Caller ID Logs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4EE6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8F58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E8E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0C545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5CD11CAE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38DB5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Add-on Compatible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348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7F88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3F61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D34D8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33B1BCBC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33B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Busy Lamp Field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2B5A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122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4690A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E7CAD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0A0FAE41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418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Multi-Line Ability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B71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0DA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A144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AAE5B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532DD721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BB3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Display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2C3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FD85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BD97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47BD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06E3F106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F30B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Headset Compatible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AF9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7B981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6EC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2EE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29C8ECCD" w14:textId="77777777" w:rsidTr="00744FEC">
        <w:trPr>
          <w:trHeight w:val="91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A22C1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583A342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61B20D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C8FBA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6A298D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5A958411" w14:textId="77777777" w:rsidTr="00744FEC">
        <w:trPr>
          <w:trHeight w:val="23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314180" w14:textId="77777777" w:rsidR="00744FEC" w:rsidRPr="00744FEC" w:rsidRDefault="00744FEC" w:rsidP="00744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Monthly Recurring Line Rate Initial Term (5 </w:t>
            </w:r>
            <w:proofErr w:type="spellStart"/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>yrs</w:t>
            </w:r>
            <w:proofErr w:type="spellEnd"/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9ADA" w14:textId="1388599C" w:rsidR="00744FEC" w:rsidRPr="00744FEC" w:rsidRDefault="00EF225F" w:rsidP="00744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5E62" w14:textId="6D783568" w:rsidR="00744FEC" w:rsidRPr="00744FEC" w:rsidRDefault="00EF225F" w:rsidP="00744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8B07E" w14:textId="1D1ACB20" w:rsidR="00744FEC" w:rsidRPr="00744FEC" w:rsidRDefault="00EF225F" w:rsidP="00744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91E9" w14:textId="2533628E" w:rsidR="00744FEC" w:rsidRPr="00744FEC" w:rsidRDefault="00EF225F" w:rsidP="00744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  <w:tr w:rsidR="00744FEC" w:rsidRPr="00744FEC" w14:paraId="073E749B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F8621C" w14:textId="0ADFADC8" w:rsidR="00744FEC" w:rsidRPr="00744FEC" w:rsidRDefault="00744FEC" w:rsidP="00744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Non-Recurring </w:t>
            </w:r>
            <w:r w:rsidR="00C754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Line Installation </w:t>
            </w: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8F29" w14:textId="7493FC82" w:rsidR="00744FEC" w:rsidRPr="00744FEC" w:rsidRDefault="00EF225F" w:rsidP="00744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8DA36" w14:textId="4C4EB2B2" w:rsidR="00744FEC" w:rsidRPr="00744FEC" w:rsidRDefault="00EF225F" w:rsidP="00744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F394" w14:textId="5B5793CD" w:rsidR="00744FEC" w:rsidRPr="00744FEC" w:rsidRDefault="00EF225F" w:rsidP="00744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843D1" w14:textId="6161AC32" w:rsidR="00744FEC" w:rsidRPr="00744FEC" w:rsidRDefault="00EF225F" w:rsidP="00744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</w:tbl>
    <w:p w14:paraId="72F72AA2" w14:textId="77777777" w:rsidR="001B6535" w:rsidRDefault="00F15B0E" w:rsidP="001B6535">
      <w:r>
        <w:br w:type="page"/>
      </w:r>
    </w:p>
    <w:p w14:paraId="20A43ED3" w14:textId="77777777" w:rsidR="00B667FC" w:rsidRPr="000E48B0" w:rsidRDefault="00B667FC" w:rsidP="00B667FC">
      <w:pPr>
        <w:rPr>
          <w:rFonts w:ascii="Arial" w:hAnsi="Arial" w:cs="Arial"/>
        </w:rPr>
      </w:pPr>
      <w:r>
        <w:rPr>
          <w:rFonts w:ascii="Arial" w:hAnsi="Arial" w:cs="Arial"/>
        </w:rPr>
        <w:t>The State will not incur any additional costs over and above the rates listed below for Announcement Only Mailbox, and Auto Attendant.</w:t>
      </w:r>
    </w:p>
    <w:p w14:paraId="1845B4B2" w14:textId="0F2B762D" w:rsidR="001B6535" w:rsidRPr="00883741" w:rsidRDefault="001B6535" w:rsidP="001B653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Additional Required</w:t>
      </w:r>
      <w:r w:rsidRPr="00883741">
        <w:rPr>
          <w:rFonts w:ascii="Arial" w:hAnsi="Arial" w:cs="Arial"/>
          <w:b/>
          <w:sz w:val="24"/>
          <w:szCs w:val="24"/>
          <w:u w:val="single"/>
        </w:rPr>
        <w:t xml:space="preserve"> Costs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1838"/>
        <w:gridCol w:w="1980"/>
      </w:tblGrid>
      <w:tr w:rsidR="001B6535" w14:paraId="5463E53B" w14:textId="77777777" w:rsidTr="00C37887">
        <w:tc>
          <w:tcPr>
            <w:tcW w:w="3377" w:type="dxa"/>
          </w:tcPr>
          <w:p w14:paraId="4531D90B" w14:textId="77777777" w:rsidR="001B6535" w:rsidRPr="004E2EA4" w:rsidRDefault="001B6535" w:rsidP="00C37887">
            <w:pPr>
              <w:jc w:val="center"/>
            </w:pPr>
          </w:p>
        </w:tc>
        <w:tc>
          <w:tcPr>
            <w:tcW w:w="1838" w:type="dxa"/>
          </w:tcPr>
          <w:p w14:paraId="246066AC" w14:textId="77777777" w:rsidR="001B6535" w:rsidRDefault="001B6535" w:rsidP="00C37887">
            <w:pPr>
              <w:jc w:val="center"/>
            </w:pPr>
            <w:r>
              <w:t>Installation</w:t>
            </w:r>
          </w:p>
          <w:p w14:paraId="214F88A3" w14:textId="77777777" w:rsidR="001B6535" w:rsidRDefault="001B6535" w:rsidP="00C37887">
            <w:pPr>
              <w:jc w:val="center"/>
            </w:pPr>
            <w:r>
              <w:t xml:space="preserve">Initial Contract Period (5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14:paraId="033998E1" w14:textId="77777777" w:rsidR="001B6535" w:rsidRDefault="001B6535" w:rsidP="00C37887">
            <w:pPr>
              <w:jc w:val="center"/>
            </w:pPr>
            <w:r>
              <w:t>Monthly Rate</w:t>
            </w:r>
          </w:p>
          <w:p w14:paraId="53AAA40A" w14:textId="77777777" w:rsidR="001B6535" w:rsidRDefault="001B6535" w:rsidP="00C37887">
            <w:pPr>
              <w:jc w:val="center"/>
            </w:pPr>
            <w:r>
              <w:t xml:space="preserve">Initial Contract Period (5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</w:tr>
      <w:tr w:rsidR="001B6535" w14:paraId="197C8125" w14:textId="77777777" w:rsidTr="00C37887">
        <w:tc>
          <w:tcPr>
            <w:tcW w:w="3377" w:type="dxa"/>
            <w:vAlign w:val="center"/>
          </w:tcPr>
          <w:p w14:paraId="175DF1DC" w14:textId="75452212" w:rsidR="001B6535" w:rsidRPr="004E2EA4" w:rsidRDefault="001B6535" w:rsidP="00C37887">
            <w:pPr>
              <w:rPr>
                <w:b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>Announcement Only Mailbox</w:t>
            </w:r>
          </w:p>
        </w:tc>
        <w:tc>
          <w:tcPr>
            <w:tcW w:w="1838" w:type="dxa"/>
            <w:vAlign w:val="center"/>
          </w:tcPr>
          <w:p w14:paraId="0A144E35" w14:textId="77777777" w:rsidR="001B6535" w:rsidRDefault="001B6535" w:rsidP="00C37887">
            <w: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1980" w:type="dxa"/>
            <w:vAlign w:val="center"/>
          </w:tcPr>
          <w:p w14:paraId="4808ED18" w14:textId="77777777" w:rsidR="001B6535" w:rsidRDefault="001B6535" w:rsidP="00C37887">
            <w: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  <w:tr w:rsidR="001B6535" w14:paraId="1333D728" w14:textId="77777777" w:rsidTr="00C37887">
        <w:tc>
          <w:tcPr>
            <w:tcW w:w="3377" w:type="dxa"/>
            <w:vAlign w:val="center"/>
          </w:tcPr>
          <w:p w14:paraId="58733099" w14:textId="579C0437" w:rsidR="001B6535" w:rsidRPr="00741913" w:rsidRDefault="001B6535" w:rsidP="00C37887">
            <w:pPr>
              <w:rPr>
                <w:b/>
                <w:i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>Auto Attendant</w:t>
            </w:r>
          </w:p>
        </w:tc>
        <w:tc>
          <w:tcPr>
            <w:tcW w:w="1838" w:type="dxa"/>
            <w:vAlign w:val="center"/>
          </w:tcPr>
          <w:p w14:paraId="561C3459" w14:textId="77777777" w:rsidR="001B6535" w:rsidRDefault="001B6535" w:rsidP="00C37887">
            <w: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1980" w:type="dxa"/>
            <w:vAlign w:val="center"/>
          </w:tcPr>
          <w:p w14:paraId="13112136" w14:textId="77777777" w:rsidR="001B6535" w:rsidRDefault="001B6535" w:rsidP="00C37887">
            <w: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  <w:tr w:rsidR="001B6535" w14:paraId="26656B89" w14:textId="77777777" w:rsidTr="00C37887">
        <w:tc>
          <w:tcPr>
            <w:tcW w:w="3377" w:type="dxa"/>
            <w:vAlign w:val="center"/>
          </w:tcPr>
          <w:p w14:paraId="46D1D865" w14:textId="4705CC83" w:rsidR="001B6535" w:rsidRPr="00741913" w:rsidRDefault="001B6535" w:rsidP="00C37887">
            <w:pPr>
              <w:rPr>
                <w:b/>
                <w:i/>
              </w:rPr>
            </w:pPr>
          </w:p>
        </w:tc>
        <w:tc>
          <w:tcPr>
            <w:tcW w:w="1838" w:type="dxa"/>
            <w:vAlign w:val="center"/>
          </w:tcPr>
          <w:p w14:paraId="7B6783BD" w14:textId="1C74C712" w:rsidR="001B6535" w:rsidRDefault="001B6535" w:rsidP="00C37887"/>
        </w:tc>
        <w:tc>
          <w:tcPr>
            <w:tcW w:w="1980" w:type="dxa"/>
            <w:vAlign w:val="center"/>
          </w:tcPr>
          <w:p w14:paraId="4D35DCD3" w14:textId="403716DC" w:rsidR="001B6535" w:rsidRDefault="001B6535" w:rsidP="00C37887"/>
        </w:tc>
      </w:tr>
    </w:tbl>
    <w:p w14:paraId="5E9CAB89" w14:textId="58CB19E9" w:rsidR="00F15B0E" w:rsidRPr="00883741" w:rsidRDefault="00F15B0E" w:rsidP="00F15B0E">
      <w:pPr>
        <w:rPr>
          <w:rFonts w:ascii="Arial" w:hAnsi="Arial" w:cs="Arial"/>
          <w:b/>
          <w:sz w:val="24"/>
          <w:szCs w:val="24"/>
          <w:u w:val="single"/>
        </w:rPr>
      </w:pPr>
      <w:r w:rsidRPr="00883741">
        <w:rPr>
          <w:rFonts w:ascii="Arial" w:hAnsi="Arial" w:cs="Arial"/>
          <w:b/>
          <w:sz w:val="24"/>
          <w:szCs w:val="24"/>
          <w:u w:val="single"/>
        </w:rPr>
        <w:t xml:space="preserve">Optional Costs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1838"/>
        <w:gridCol w:w="1980"/>
      </w:tblGrid>
      <w:tr w:rsidR="00744FEC" w14:paraId="3BFA8080" w14:textId="77777777" w:rsidTr="00EF225F">
        <w:tc>
          <w:tcPr>
            <w:tcW w:w="3377" w:type="dxa"/>
          </w:tcPr>
          <w:p w14:paraId="3B6D961D" w14:textId="77777777" w:rsidR="00744FEC" w:rsidRPr="004E2EA4" w:rsidRDefault="00744FEC" w:rsidP="00F15B0E">
            <w:pPr>
              <w:jc w:val="center"/>
            </w:pPr>
          </w:p>
        </w:tc>
        <w:tc>
          <w:tcPr>
            <w:tcW w:w="1838" w:type="dxa"/>
          </w:tcPr>
          <w:p w14:paraId="7624AD39" w14:textId="77777777" w:rsidR="00744FEC" w:rsidRDefault="00744FEC" w:rsidP="00F15B0E">
            <w:pPr>
              <w:jc w:val="center"/>
            </w:pPr>
            <w:r>
              <w:t>Installation</w:t>
            </w:r>
          </w:p>
          <w:p w14:paraId="781669FA" w14:textId="4823C4E6" w:rsidR="00744FEC" w:rsidRDefault="00744FEC" w:rsidP="00744FEC">
            <w:pPr>
              <w:jc w:val="center"/>
            </w:pPr>
            <w:r>
              <w:t xml:space="preserve">Initial Contract Period (5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14:paraId="0EEC88D8" w14:textId="77777777" w:rsidR="00744FEC" w:rsidRDefault="00744FEC" w:rsidP="00F15B0E">
            <w:pPr>
              <w:jc w:val="center"/>
            </w:pPr>
            <w:r>
              <w:t>Monthly Rate</w:t>
            </w:r>
          </w:p>
          <w:p w14:paraId="234A8509" w14:textId="147ACCA4" w:rsidR="00744FEC" w:rsidRDefault="00744FEC" w:rsidP="00744FEC">
            <w:pPr>
              <w:jc w:val="center"/>
            </w:pPr>
            <w:r>
              <w:t xml:space="preserve">Initial Contract Period (5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</w:tr>
      <w:tr w:rsidR="00744FEC" w14:paraId="4C9C4734" w14:textId="77777777" w:rsidTr="00EF225F">
        <w:tc>
          <w:tcPr>
            <w:tcW w:w="3377" w:type="dxa"/>
            <w:vAlign w:val="center"/>
          </w:tcPr>
          <w:p w14:paraId="142093E2" w14:textId="77777777" w:rsidR="00744FEC" w:rsidRPr="004E2EA4" w:rsidRDefault="00744FEC" w:rsidP="00883741">
            <w:pPr>
              <w:rPr>
                <w:b/>
              </w:rPr>
            </w:pPr>
            <w:r w:rsidRPr="004E2EA4">
              <w:rPr>
                <w:b/>
              </w:rPr>
              <w:t>ACD/UCD</w:t>
            </w:r>
          </w:p>
        </w:tc>
        <w:tc>
          <w:tcPr>
            <w:tcW w:w="1838" w:type="dxa"/>
            <w:vAlign w:val="center"/>
          </w:tcPr>
          <w:p w14:paraId="40D5EF5D" w14:textId="7C8E058F" w:rsidR="00744FEC" w:rsidRDefault="00744FEC" w:rsidP="00F15B0E">
            <w:r>
              <w:t>$</w:t>
            </w:r>
            <w:r w:rsidR="00EF225F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EF225F"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1980" w:type="dxa"/>
            <w:vAlign w:val="center"/>
          </w:tcPr>
          <w:p w14:paraId="6A4C8758" w14:textId="256CBEE8" w:rsidR="00744FEC" w:rsidRDefault="00744FEC" w:rsidP="00F15B0E">
            <w:r>
              <w:t>$</w:t>
            </w:r>
            <w:r w:rsidR="00EF225F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EF225F"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  <w:tr w:rsidR="00744FEC" w14:paraId="01E96078" w14:textId="77777777" w:rsidTr="00EF225F">
        <w:tc>
          <w:tcPr>
            <w:tcW w:w="3377" w:type="dxa"/>
            <w:vAlign w:val="center"/>
          </w:tcPr>
          <w:p w14:paraId="2264641E" w14:textId="0F19E909" w:rsidR="00744FEC" w:rsidRPr="00741913" w:rsidRDefault="00744FEC" w:rsidP="00883741">
            <w:pPr>
              <w:rPr>
                <w:b/>
                <w:i/>
              </w:rPr>
            </w:pPr>
            <w:r>
              <w:rPr>
                <w:b/>
              </w:rPr>
              <w:t>Any Additional Optional items.</w:t>
            </w:r>
          </w:p>
        </w:tc>
        <w:tc>
          <w:tcPr>
            <w:tcW w:w="1838" w:type="dxa"/>
            <w:vAlign w:val="center"/>
          </w:tcPr>
          <w:p w14:paraId="00619EA8" w14:textId="203D2CAC" w:rsidR="00744FEC" w:rsidRDefault="00744FEC" w:rsidP="00F15B0E">
            <w:r>
              <w:t>$</w:t>
            </w:r>
            <w:r w:rsidR="00EF225F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EF225F"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1980" w:type="dxa"/>
            <w:vAlign w:val="center"/>
          </w:tcPr>
          <w:p w14:paraId="3C1038A5" w14:textId="1B895127" w:rsidR="00744FEC" w:rsidRDefault="00744FEC" w:rsidP="00F15B0E">
            <w:r>
              <w:t>$</w:t>
            </w:r>
            <w:r w:rsidR="00EF225F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EF225F"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  <w:tr w:rsidR="00744FEC" w14:paraId="5750AC2E" w14:textId="77777777" w:rsidTr="00EF225F">
        <w:tc>
          <w:tcPr>
            <w:tcW w:w="3377" w:type="dxa"/>
            <w:vAlign w:val="center"/>
          </w:tcPr>
          <w:p w14:paraId="71269F1A" w14:textId="11B8D4D1" w:rsidR="00744FEC" w:rsidRPr="00741913" w:rsidRDefault="00744FEC" w:rsidP="00883741">
            <w:pPr>
              <w:rPr>
                <w:b/>
                <w:i/>
              </w:rPr>
            </w:pPr>
            <w:r>
              <w:rPr>
                <w:b/>
              </w:rPr>
              <w:t>Any Additional Optional Services.</w:t>
            </w:r>
          </w:p>
        </w:tc>
        <w:tc>
          <w:tcPr>
            <w:tcW w:w="1838" w:type="dxa"/>
            <w:vAlign w:val="center"/>
          </w:tcPr>
          <w:p w14:paraId="71B29B89" w14:textId="222713F3" w:rsidR="00744FEC" w:rsidRDefault="00744FEC" w:rsidP="00F15B0E">
            <w:r>
              <w:t>$</w:t>
            </w:r>
            <w:r w:rsidR="00EF225F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EF225F"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1980" w:type="dxa"/>
            <w:vAlign w:val="center"/>
          </w:tcPr>
          <w:p w14:paraId="6C05C7AF" w14:textId="793CADA5" w:rsidR="00744FEC" w:rsidRDefault="00744FEC" w:rsidP="00F15B0E">
            <w:r>
              <w:t>$</w:t>
            </w:r>
            <w:r w:rsidR="00EF225F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EF225F"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  <w:tr w:rsidR="00604CD0" w14:paraId="2317F60A" w14:textId="77777777" w:rsidTr="00EF225F">
        <w:tc>
          <w:tcPr>
            <w:tcW w:w="3377" w:type="dxa"/>
            <w:vAlign w:val="center"/>
          </w:tcPr>
          <w:p w14:paraId="71287523" w14:textId="13CC4F9C" w:rsidR="00604CD0" w:rsidRDefault="00604CD0" w:rsidP="00604CD0">
            <w:pPr>
              <w:rPr>
                <w:b/>
              </w:rPr>
            </w:pPr>
            <w:r>
              <w:rPr>
                <w:b/>
              </w:rPr>
              <w:t>Non-recurring Line Installation where the State would install the Telephone Set.</w:t>
            </w:r>
          </w:p>
        </w:tc>
        <w:tc>
          <w:tcPr>
            <w:tcW w:w="1838" w:type="dxa"/>
            <w:vAlign w:val="center"/>
          </w:tcPr>
          <w:p w14:paraId="3822BB46" w14:textId="2016C4AD" w:rsidR="00604CD0" w:rsidRDefault="00604CD0" w:rsidP="00604CD0">
            <w:r>
              <w:t xml:space="preserve">$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1980" w:type="dxa"/>
            <w:vAlign w:val="center"/>
          </w:tcPr>
          <w:p w14:paraId="27773423" w14:textId="2483F2BF" w:rsidR="00604CD0" w:rsidRDefault="00604CD0" w:rsidP="00604CD0">
            <w:r>
              <w:t xml:space="preserve">$ 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</w:tbl>
    <w:p w14:paraId="05DCE370" w14:textId="2A116B9F" w:rsidR="00604CD0" w:rsidRDefault="00EF225F" w:rsidP="00F15B0E">
      <w:pPr>
        <w:rPr>
          <w:i/>
        </w:rPr>
      </w:pPr>
      <w:r w:rsidRPr="00EF225F">
        <w:rPr>
          <w:i/>
        </w:rPr>
        <w:t>Bidder may include additional lines above as needed</w:t>
      </w:r>
    </w:p>
    <w:p w14:paraId="795A7B24" w14:textId="77777777" w:rsidR="00604CD0" w:rsidRDefault="00604CD0">
      <w:pPr>
        <w:rPr>
          <w:i/>
        </w:rPr>
      </w:pPr>
      <w:r>
        <w:rPr>
          <w:i/>
        </w:rPr>
        <w:br w:type="page"/>
      </w:r>
    </w:p>
    <w:p w14:paraId="41B078A7" w14:textId="77777777" w:rsidR="00F15B0E" w:rsidRPr="001B6535" w:rsidRDefault="00F15B0E" w:rsidP="00F15B0E">
      <w:pPr>
        <w:rPr>
          <w:i/>
        </w:rPr>
      </w:pPr>
    </w:p>
    <w:p w14:paraId="060DF74A" w14:textId="77777777" w:rsidR="00F15B0E" w:rsidRDefault="00883741">
      <w:pPr>
        <w:rPr>
          <w:rFonts w:ascii="Arial" w:hAnsi="Arial" w:cs="Arial"/>
          <w:sz w:val="24"/>
          <w:szCs w:val="24"/>
          <w:u w:val="single"/>
        </w:rPr>
      </w:pPr>
      <w:r w:rsidRPr="00883741">
        <w:rPr>
          <w:rFonts w:ascii="Arial" w:hAnsi="Arial" w:cs="Arial"/>
          <w:sz w:val="24"/>
          <w:szCs w:val="24"/>
          <w:u w:val="single"/>
        </w:rPr>
        <w:t>Optional Labor Rates</w:t>
      </w:r>
    </w:p>
    <w:p w14:paraId="60D47CD1" w14:textId="576DF699" w:rsidR="00883741" w:rsidRDefault="0088374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Please list </w:t>
      </w:r>
      <w:r w:rsidR="00AA5F71">
        <w:rPr>
          <w:rFonts w:ascii="Arial" w:hAnsi="Arial" w:cs="Arial"/>
          <w:sz w:val="24"/>
          <w:szCs w:val="24"/>
          <w:u w:val="single"/>
        </w:rPr>
        <w:t>all Job Titles that</w:t>
      </w:r>
      <w:r>
        <w:rPr>
          <w:rFonts w:ascii="Arial" w:hAnsi="Arial" w:cs="Arial"/>
          <w:sz w:val="24"/>
          <w:szCs w:val="24"/>
          <w:u w:val="single"/>
        </w:rPr>
        <w:t xml:space="preserve"> pertain</w:t>
      </w:r>
      <w:r w:rsidR="00AA5F71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AE1190">
        <w:rPr>
          <w:rFonts w:ascii="Arial" w:hAnsi="Arial" w:cs="Arial"/>
          <w:sz w:val="24"/>
          <w:szCs w:val="24"/>
          <w:u w:val="single"/>
        </w:rPr>
        <w:t>to</w:t>
      </w:r>
      <w:r>
        <w:rPr>
          <w:rFonts w:ascii="Arial" w:hAnsi="Arial" w:cs="Arial"/>
          <w:sz w:val="24"/>
          <w:szCs w:val="24"/>
          <w:u w:val="single"/>
        </w:rPr>
        <w:t xml:space="preserve"> this Contract where the State of Nebraska </w:t>
      </w:r>
      <w:proofErr w:type="gramStart"/>
      <w:r>
        <w:rPr>
          <w:rFonts w:ascii="Arial" w:hAnsi="Arial" w:cs="Arial"/>
          <w:sz w:val="24"/>
          <w:szCs w:val="24"/>
          <w:u w:val="single"/>
        </w:rPr>
        <w:t>would be charged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an Hourly Rate.  </w:t>
      </w:r>
    </w:p>
    <w:tbl>
      <w:tblPr>
        <w:tblStyle w:val="TableGrid"/>
        <w:tblW w:w="59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050"/>
        <w:gridCol w:w="1890"/>
      </w:tblGrid>
      <w:tr w:rsidR="0034676A" w:rsidRPr="008854C7" w14:paraId="34242027" w14:textId="77777777" w:rsidTr="0034676A">
        <w:tc>
          <w:tcPr>
            <w:tcW w:w="4050" w:type="dxa"/>
            <w:tcBorders>
              <w:top w:val="thinThickSmallGap" w:sz="24" w:space="0" w:color="auto"/>
            </w:tcBorders>
            <w:vAlign w:val="center"/>
          </w:tcPr>
          <w:p w14:paraId="52C53AD6" w14:textId="77777777" w:rsidR="0034676A" w:rsidRPr="008854C7" w:rsidRDefault="0034676A" w:rsidP="00C669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by Job Title</w:t>
            </w:r>
          </w:p>
        </w:tc>
        <w:tc>
          <w:tcPr>
            <w:tcW w:w="1890" w:type="dxa"/>
            <w:tcBorders>
              <w:top w:val="thinThickSmallGap" w:sz="24" w:space="0" w:color="auto"/>
            </w:tcBorders>
          </w:tcPr>
          <w:p w14:paraId="736F0692" w14:textId="73ABE251" w:rsidR="0034676A" w:rsidRDefault="0034676A" w:rsidP="00C66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Contract Period (5 </w:t>
            </w:r>
            <w:proofErr w:type="spellStart"/>
            <w:r>
              <w:rPr>
                <w:rFonts w:ascii="Arial" w:hAnsi="Arial" w:cs="Arial"/>
              </w:rPr>
              <w:t>yrs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055BFF49" w14:textId="77777777" w:rsidR="0034676A" w:rsidRPr="008854C7" w:rsidRDefault="0034676A" w:rsidP="00C66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Per Hour</w:t>
            </w:r>
          </w:p>
        </w:tc>
      </w:tr>
      <w:tr w:rsidR="0034676A" w14:paraId="0196BAA9" w14:textId="77777777" w:rsidTr="0034676A">
        <w:tc>
          <w:tcPr>
            <w:tcW w:w="405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8F259CC" w14:textId="77777777" w:rsidR="0034676A" w:rsidRPr="008854C7" w:rsidRDefault="0034676A" w:rsidP="00C669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854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46BDAF3" w14:textId="678052C7" w:rsidR="0034676A" w:rsidRDefault="0034676A" w:rsidP="00C66921">
            <w:r>
              <w:t>$</w:t>
            </w:r>
            <w:r w:rsidR="00EF225F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EF225F"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  <w:tr w:rsidR="0034676A" w14:paraId="5E6038BF" w14:textId="77777777" w:rsidTr="0034676A">
        <w:tc>
          <w:tcPr>
            <w:tcW w:w="405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0E838551" w14:textId="77777777" w:rsidR="0034676A" w:rsidRPr="008854C7" w:rsidRDefault="0034676A" w:rsidP="00C669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69E3670" w14:textId="0083E413" w:rsidR="0034676A" w:rsidRDefault="0034676A" w:rsidP="00C66921">
            <w:r>
              <w:t>$</w:t>
            </w:r>
            <w:r w:rsidR="00EF225F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EF225F"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</w:tbl>
    <w:p w14:paraId="1B1BCBA3" w14:textId="161C7CF8" w:rsidR="00883741" w:rsidRPr="00AB6B83" w:rsidRDefault="00EF225F" w:rsidP="00AB6B83">
      <w:pPr>
        <w:spacing w:after="0"/>
        <w:rPr>
          <w:rFonts w:ascii="Arial" w:hAnsi="Arial" w:cs="Arial"/>
          <w:i/>
          <w:sz w:val="24"/>
          <w:szCs w:val="24"/>
        </w:rPr>
      </w:pPr>
      <w:r w:rsidRPr="00EF225F">
        <w:rPr>
          <w:rFonts w:ascii="Arial" w:hAnsi="Arial" w:cs="Arial"/>
          <w:i/>
          <w:sz w:val="24"/>
          <w:szCs w:val="24"/>
        </w:rPr>
        <w:t>Bidder may include additional lines above as needed</w:t>
      </w:r>
      <w:r w:rsidR="00AB6B83">
        <w:rPr>
          <w:rFonts w:ascii="Arial" w:hAnsi="Arial" w:cs="Arial"/>
          <w:i/>
          <w:sz w:val="24"/>
          <w:szCs w:val="24"/>
        </w:rPr>
        <w:t>.</w:t>
      </w:r>
    </w:p>
    <w:sectPr w:rsidR="00883741" w:rsidRPr="00AB6B83" w:rsidSect="008854C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7B45" w14:textId="77777777" w:rsidR="006837C1" w:rsidRDefault="006837C1" w:rsidP="008854C7">
      <w:pPr>
        <w:spacing w:after="0" w:line="240" w:lineRule="auto"/>
      </w:pPr>
      <w:r>
        <w:separator/>
      </w:r>
    </w:p>
  </w:endnote>
  <w:endnote w:type="continuationSeparator" w:id="0">
    <w:p w14:paraId="6B60BE32" w14:textId="77777777" w:rsidR="006837C1" w:rsidRDefault="006837C1" w:rsidP="0088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98F1D" w14:textId="77777777" w:rsidR="006837C1" w:rsidRDefault="006837C1" w:rsidP="008854C7">
      <w:pPr>
        <w:spacing w:after="0" w:line="240" w:lineRule="auto"/>
      </w:pPr>
      <w:r>
        <w:separator/>
      </w:r>
    </w:p>
  </w:footnote>
  <w:footnote w:type="continuationSeparator" w:id="0">
    <w:p w14:paraId="68F34B4F" w14:textId="77777777" w:rsidR="006837C1" w:rsidRDefault="006837C1" w:rsidP="0088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01835" w14:textId="77777777" w:rsidR="008854C7" w:rsidRDefault="008854C7" w:rsidP="00F15B0E">
    <w:pPr>
      <w:pStyle w:val="Header"/>
    </w:pPr>
  </w:p>
  <w:p w14:paraId="71475445" w14:textId="6D12DBB4" w:rsidR="008854C7" w:rsidRDefault="00604CD0" w:rsidP="008854C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Revised </w:t>
    </w:r>
    <w:r w:rsidR="008854C7" w:rsidRPr="008854C7">
      <w:rPr>
        <w:b/>
        <w:sz w:val="28"/>
        <w:szCs w:val="28"/>
      </w:rPr>
      <w:t>Cost Proposal</w:t>
    </w:r>
  </w:p>
  <w:p w14:paraId="39ABD46D" w14:textId="6E18A6B6" w:rsidR="008F6056" w:rsidRPr="008854C7" w:rsidRDefault="00026D40" w:rsidP="008854C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Option B</w:t>
    </w:r>
    <w:r w:rsidR="008F6056">
      <w:rPr>
        <w:b/>
        <w:sz w:val="28"/>
        <w:szCs w:val="28"/>
      </w:rPr>
      <w:t>:  OCIO Hosted Solution</w:t>
    </w:r>
  </w:p>
  <w:p w14:paraId="5878CEAE" w14:textId="643D4128" w:rsidR="008854C7" w:rsidRDefault="008854C7" w:rsidP="008854C7">
    <w:pPr>
      <w:pStyle w:val="Header"/>
      <w:jc w:val="center"/>
      <w:rPr>
        <w:b/>
        <w:sz w:val="28"/>
        <w:szCs w:val="28"/>
      </w:rPr>
    </w:pPr>
    <w:r w:rsidRPr="008854C7">
      <w:rPr>
        <w:b/>
        <w:sz w:val="28"/>
        <w:szCs w:val="28"/>
      </w:rPr>
      <w:t xml:space="preserve">RFP </w:t>
    </w:r>
    <w:r w:rsidR="00D648FD" w:rsidRPr="00C54B32">
      <w:rPr>
        <w:b/>
        <w:sz w:val="28"/>
        <w:szCs w:val="28"/>
      </w:rPr>
      <w:t>5885</w:t>
    </w:r>
    <w:r w:rsidRPr="008854C7">
      <w:rPr>
        <w:b/>
        <w:sz w:val="28"/>
        <w:szCs w:val="28"/>
      </w:rPr>
      <w:t xml:space="preserve"> Z1</w:t>
    </w:r>
  </w:p>
  <w:p w14:paraId="2D9DCD8B" w14:textId="77777777" w:rsidR="00F15B0E" w:rsidRDefault="00F15B0E" w:rsidP="008854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4DF4"/>
    <w:multiLevelType w:val="hybridMultilevel"/>
    <w:tmpl w:val="9846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C16A1"/>
    <w:multiLevelType w:val="hybridMultilevel"/>
    <w:tmpl w:val="8A0ECE9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477CF3"/>
    <w:multiLevelType w:val="hybridMultilevel"/>
    <w:tmpl w:val="8A0ECE9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47F48C5"/>
    <w:multiLevelType w:val="hybridMultilevel"/>
    <w:tmpl w:val="45AAF908"/>
    <w:lvl w:ilvl="0" w:tplc="995CC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srAwNrEwsDS0MDJU0lEKTi0uzszPAykwrAUATLVahCwAAAA="/>
  </w:docVars>
  <w:rsids>
    <w:rsidRoot w:val="00CC6515"/>
    <w:rsid w:val="000013E5"/>
    <w:rsid w:val="00026D40"/>
    <w:rsid w:val="00036E21"/>
    <w:rsid w:val="000927D4"/>
    <w:rsid w:val="000A448D"/>
    <w:rsid w:val="000B253D"/>
    <w:rsid w:val="00147B73"/>
    <w:rsid w:val="001B6535"/>
    <w:rsid w:val="001F3984"/>
    <w:rsid w:val="00295C17"/>
    <w:rsid w:val="002D392F"/>
    <w:rsid w:val="003059A0"/>
    <w:rsid w:val="00322CF8"/>
    <w:rsid w:val="00325603"/>
    <w:rsid w:val="003279A7"/>
    <w:rsid w:val="0034676A"/>
    <w:rsid w:val="003D4DA6"/>
    <w:rsid w:val="003F3004"/>
    <w:rsid w:val="00441314"/>
    <w:rsid w:val="00453381"/>
    <w:rsid w:val="0046745C"/>
    <w:rsid w:val="004E2EA4"/>
    <w:rsid w:val="005A2DA1"/>
    <w:rsid w:val="005B3B5A"/>
    <w:rsid w:val="005C3B32"/>
    <w:rsid w:val="005D22C0"/>
    <w:rsid w:val="00604CD0"/>
    <w:rsid w:val="006837C1"/>
    <w:rsid w:val="006A442D"/>
    <w:rsid w:val="00741913"/>
    <w:rsid w:val="00744FEC"/>
    <w:rsid w:val="007B7D19"/>
    <w:rsid w:val="00815BED"/>
    <w:rsid w:val="00824F5C"/>
    <w:rsid w:val="00880B4A"/>
    <w:rsid w:val="00883741"/>
    <w:rsid w:val="008854C7"/>
    <w:rsid w:val="008977BB"/>
    <w:rsid w:val="008B611D"/>
    <w:rsid w:val="008F6056"/>
    <w:rsid w:val="008F78A6"/>
    <w:rsid w:val="00906B24"/>
    <w:rsid w:val="009C7E1F"/>
    <w:rsid w:val="009E7E6F"/>
    <w:rsid w:val="00A01D80"/>
    <w:rsid w:val="00AA157A"/>
    <w:rsid w:val="00AA5F71"/>
    <w:rsid w:val="00AB6B83"/>
    <w:rsid w:val="00AE1190"/>
    <w:rsid w:val="00AE1A24"/>
    <w:rsid w:val="00B11A51"/>
    <w:rsid w:val="00B40D21"/>
    <w:rsid w:val="00B576F7"/>
    <w:rsid w:val="00B636F9"/>
    <w:rsid w:val="00B667FC"/>
    <w:rsid w:val="00BA464B"/>
    <w:rsid w:val="00BD72D4"/>
    <w:rsid w:val="00C05CB5"/>
    <w:rsid w:val="00C15078"/>
    <w:rsid w:val="00C515BE"/>
    <w:rsid w:val="00C54B32"/>
    <w:rsid w:val="00C7545A"/>
    <w:rsid w:val="00C935D8"/>
    <w:rsid w:val="00CB3431"/>
    <w:rsid w:val="00CC6515"/>
    <w:rsid w:val="00D2749A"/>
    <w:rsid w:val="00D52A11"/>
    <w:rsid w:val="00D648FD"/>
    <w:rsid w:val="00D93237"/>
    <w:rsid w:val="00DA5F09"/>
    <w:rsid w:val="00E424B3"/>
    <w:rsid w:val="00E53602"/>
    <w:rsid w:val="00E5646D"/>
    <w:rsid w:val="00E57A6F"/>
    <w:rsid w:val="00EE5938"/>
    <w:rsid w:val="00EF225F"/>
    <w:rsid w:val="00F15B0E"/>
    <w:rsid w:val="00F87FFA"/>
    <w:rsid w:val="00FB346E"/>
    <w:rsid w:val="00F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CFBA23"/>
  <w15:chartTrackingRefBased/>
  <w15:docId w15:val="{0F25FB6E-5BAE-4092-B3EB-88E01C2E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C7"/>
  </w:style>
  <w:style w:type="paragraph" w:styleId="Footer">
    <w:name w:val="footer"/>
    <w:basedOn w:val="Normal"/>
    <w:link w:val="FooterChar"/>
    <w:uiPriority w:val="99"/>
    <w:unhideWhenUsed/>
    <w:rsid w:val="0088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C7"/>
  </w:style>
  <w:style w:type="paragraph" w:styleId="BalloonText">
    <w:name w:val="Balloon Text"/>
    <w:basedOn w:val="Normal"/>
    <w:link w:val="BalloonTextChar"/>
    <w:uiPriority w:val="99"/>
    <w:semiHidden/>
    <w:unhideWhenUsed/>
    <w:rsid w:val="0088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927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2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2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7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Hittle, Jameson</dc:creator>
  <cp:keywords/>
  <dc:description/>
  <cp:lastModifiedBy>Storant, Nancy</cp:lastModifiedBy>
  <cp:revision>2</cp:revision>
  <dcterms:created xsi:type="dcterms:W3CDTF">2018-08-03T16:29:00Z</dcterms:created>
  <dcterms:modified xsi:type="dcterms:W3CDTF">2018-08-03T16:29:00Z</dcterms:modified>
</cp:coreProperties>
</file>